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хозяйство ЗАТО Озерный Тверской </w:t>
      </w:r>
      <w:proofErr w:type="gramStart"/>
      <w:r>
        <w:rPr>
          <w:rFonts w:ascii="Times New Roman" w:hAnsi="Times New Roman" w:cs="Times New Roman"/>
          <w:sz w:val="36"/>
          <w:szCs w:val="36"/>
        </w:rPr>
        <w:t>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на 201</w:t>
      </w:r>
      <w:r w:rsidR="00DB0BD0"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DB0BD0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3D5" w:rsidRDefault="00E853D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3D5" w:rsidRDefault="00E853D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3D5" w:rsidRDefault="00E853D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3D5" w:rsidRDefault="00E853D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53D5" w:rsidRDefault="00E853D5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B0B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143511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177025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17702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DB0BD0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DB0BD0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161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</w:t>
            </w:r>
            <w:proofErr w:type="gramStart"/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области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End"/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Дорожное хозяйство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B0BD0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Администрация закрытого административно-территориального образования Озерный Тверской области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области)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0F46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F46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реализуется в </w:t>
            </w:r>
            <w:r w:rsidR="0092260D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FD3DC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транспортно-эксплуатационных качеств улично-дорожной сети ЗАТО Озерный, дорог общего пользования местного </w:t>
            </w:r>
            <w:proofErr w:type="gramStart"/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значения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 приведение дворовых территорий и проездов к дворовым территориям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многоквартирных жилых домов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в нормативное состояние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7578E4" w:rsidTr="008A1D79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1C3F01" w:rsidRDefault="00B3165D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Ремонт и содержание улично-дорожной сети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 (далее – 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165D" w:rsidRPr="007578E4" w:rsidRDefault="00B3165D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 (далее – Подпрограмма 2).</w:t>
            </w:r>
          </w:p>
        </w:tc>
      </w:tr>
      <w:tr w:rsidR="008A1D79" w:rsidRPr="007578E4" w:rsidTr="008A1D79">
        <w:tc>
          <w:tcPr>
            <w:tcW w:w="3369" w:type="dxa"/>
            <w:vMerge w:val="restart"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  <w:tcBorders>
              <w:bottom w:val="nil"/>
            </w:tcBorders>
          </w:tcPr>
          <w:p w:rsidR="00DB0BD0" w:rsidRDefault="00DB0BD0" w:rsidP="008A1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отремонтированных автомобильных дорог с усовершенствованным покрытием в общей протяженности автомобильных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до 42 %.</w:t>
            </w:r>
          </w:p>
          <w:p w:rsidR="008A1D79" w:rsidRPr="007578E4" w:rsidRDefault="00DB0BD0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благоустроенных дворовых территорий многоквартирных жилых домов в общем количестве дворовых территорий, расположенных на территории ЗАТО Озерный до 24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r w:rsidR="008A1D7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DB0BD0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потребительских свойств улично-дорожной </w:t>
            </w:r>
            <w:proofErr w:type="gramStart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gramEnd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сооружений на ней.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автомобильных дорог, улично-дорожной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сети  и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искусственных сооружений на них на уровне, допустимом нормативами, для обеспечения их сохранности.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</w:tcBorders>
          </w:tcPr>
          <w:p w:rsidR="008A1D79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Сокращение количества дворовых территорий, благоустройство которых не отвечает современным техническим требованиям.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164B2"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44 119,9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., в том числе по годам ее реализации в разрезе подпрограмм:</w:t>
            </w:r>
          </w:p>
          <w:p w:rsidR="007578E4" w:rsidRDefault="007578E4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14 160,5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67356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A1D79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12 930,2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.;</w:t>
            </w:r>
          </w:p>
          <w:p w:rsidR="005A049D" w:rsidRPr="007578E4" w:rsidRDefault="005A049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1 230,3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78E4" w:rsidRDefault="007578E4" w:rsidP="00757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DB0BD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="00467356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A049D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ED57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78E4" w:rsidRPr="007578E4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8513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</w:t>
      </w:r>
      <w:r w:rsidR="00ED57E9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пешеходам; 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по состоянию и эксплуатации дорог необходимо использовать программно-целевой метод. Комплексное решение проблемы окажет положительный эффект на общую обстановку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пользования  местного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>К решению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</w:t>
      </w:r>
      <w:proofErr w:type="spellStart"/>
      <w:r w:rsidRPr="00C853D9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C853D9">
        <w:rPr>
          <w:rFonts w:ascii="Times New Roman" w:hAnsi="Times New Roman" w:cs="Times New Roman"/>
          <w:sz w:val="28"/>
          <w:szCs w:val="28"/>
        </w:rPr>
        <w:t xml:space="preserve">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. Асфальтобетонное покрытие </w:t>
      </w:r>
      <w:r w:rsidR="00ED57E9">
        <w:rPr>
          <w:rFonts w:ascii="Times New Roman" w:hAnsi="Times New Roman" w:cs="Times New Roman"/>
          <w:sz w:val="28"/>
          <w:szCs w:val="28"/>
        </w:rPr>
        <w:t>70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 xml:space="preserve">о не </w:t>
      </w:r>
      <w:r w:rsidR="00ED57E9">
        <w:rPr>
          <w:rFonts w:ascii="Times New Roman" w:hAnsi="Times New Roman" w:cs="Times New Roman"/>
          <w:sz w:val="28"/>
          <w:szCs w:val="28"/>
        </w:rPr>
        <w:t>было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7E9">
        <w:rPr>
          <w:rFonts w:ascii="Times New Roman" w:hAnsi="Times New Roman" w:cs="Times New Roman"/>
          <w:sz w:val="28"/>
          <w:szCs w:val="28"/>
        </w:rPr>
        <w:t xml:space="preserve">при разработке проекта планировки и генерального </w:t>
      </w:r>
      <w:proofErr w:type="spellStart"/>
      <w:r w:rsidR="00ED57E9">
        <w:rPr>
          <w:rFonts w:ascii="Times New Roman" w:hAnsi="Times New Roman" w:cs="Times New Roman"/>
          <w:sz w:val="28"/>
          <w:szCs w:val="28"/>
        </w:rPr>
        <w:t>плна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ED57E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В </w:t>
      </w:r>
      <w:r w:rsidR="00ED57E9">
        <w:rPr>
          <w:rFonts w:ascii="Times New Roman" w:hAnsi="Times New Roman" w:cs="Times New Roman"/>
          <w:sz w:val="28"/>
          <w:szCs w:val="28"/>
        </w:rPr>
        <w:t>период 2019-2021 годов, в рамках реализации мероприятий Программы</w:t>
      </w:r>
      <w:r w:rsidRPr="00C853D9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ED57E9">
        <w:rPr>
          <w:rFonts w:ascii="Times New Roman" w:hAnsi="Times New Roman" w:cs="Times New Roman"/>
          <w:sz w:val="28"/>
          <w:szCs w:val="28"/>
        </w:rPr>
        <w:t>ы следующие виды работ:</w:t>
      </w:r>
    </w:p>
    <w:p w:rsidR="00ED57E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и ремонт существующий улично-дорожной сети и дорог общего пользования путем проведения работ по текущему и ямочному ремонту;</w:t>
      </w:r>
    </w:p>
    <w:p w:rsidR="00C853D9" w:rsidRPr="00C853D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Участие в областной программе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 по ремонту дворовых территорий многоквартирных жилых домов по ул. Киевская, д. 3, ул. Киевская, д. 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а, ул. Киевская, д. 1.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>, которые находились в неудовлетворительном состоянии и не отвечали техническим требованиям проезда автотранспорта. Данные д</w:t>
      </w:r>
      <w:r w:rsidR="00ED57E9">
        <w:rPr>
          <w:rFonts w:ascii="Times New Roman" w:hAnsi="Times New Roman" w:cs="Times New Roman"/>
          <w:sz w:val="28"/>
          <w:szCs w:val="28"/>
        </w:rPr>
        <w:t xml:space="preserve">ороги в основном представлены </w:t>
      </w:r>
      <w:r w:rsidR="007135C1">
        <w:rPr>
          <w:rFonts w:ascii="Times New Roman" w:hAnsi="Times New Roman" w:cs="Times New Roman"/>
          <w:sz w:val="28"/>
          <w:szCs w:val="28"/>
        </w:rPr>
        <w:t xml:space="preserve">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671CAA">
        <w:rPr>
          <w:rFonts w:ascii="Times New Roman" w:hAnsi="Times New Roman" w:cs="Times New Roman"/>
          <w:sz w:val="28"/>
          <w:szCs w:val="28"/>
        </w:rPr>
        <w:t>71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85130B" w:rsidRDefault="00671CAA" w:rsidP="008513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177025" w:rsidRPr="0085130B" w:rsidRDefault="00177025" w:rsidP="0085130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отремонтированных автомобильных дорог с усовершенствованным покрытием в общей протяженности дорог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 xml:space="preserve">«Ремонт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Текущий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>Сезонное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содержание улично-дорожной сети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2  «</w:t>
      </w:r>
      <w:proofErr w:type="gramEnd"/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территорий многоквартирных жилых домов на территории ЗАТО Озерный Тверской области»;</w:t>
      </w:r>
    </w:p>
    <w:p w:rsidR="000F299F" w:rsidRDefault="003F0E21" w:rsidP="008513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Ремонт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проездов к дворовым территориям многоквартирных жилых домов на территории ЗАТО Озерный Тверской области».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</w:t>
      </w:r>
      <w:r w:rsidR="007014FC">
        <w:rPr>
          <w:rFonts w:ascii="Times New Roman" w:hAnsi="Times New Roman" w:cs="Times New Roman"/>
          <w:sz w:val="28"/>
          <w:szCs w:val="28"/>
        </w:rPr>
        <w:t>ол</w:t>
      </w:r>
      <w:r w:rsidR="00066F1D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отвечающая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6F1D">
        <w:rPr>
          <w:rFonts w:ascii="Times New Roman" w:hAnsi="Times New Roman" w:cs="Times New Roman"/>
          <w:sz w:val="28"/>
          <w:szCs w:val="28"/>
        </w:rPr>
        <w:t xml:space="preserve">Увеличение доли дорог общего пользования местного </w:t>
      </w:r>
      <w:proofErr w:type="spellStart"/>
      <w:r w:rsidR="00066F1D">
        <w:rPr>
          <w:rFonts w:ascii="Times New Roman" w:hAnsi="Times New Roman" w:cs="Times New Roman"/>
          <w:sz w:val="28"/>
          <w:szCs w:val="28"/>
        </w:rPr>
        <w:t>значеия</w:t>
      </w:r>
      <w:proofErr w:type="spellEnd"/>
      <w:r w:rsidR="00066F1D">
        <w:rPr>
          <w:rFonts w:ascii="Times New Roman" w:hAnsi="Times New Roman" w:cs="Times New Roman"/>
          <w:sz w:val="28"/>
          <w:szCs w:val="28"/>
        </w:rPr>
        <w:t xml:space="preserve"> отвечающих современным эксплуатационным требованиям и увеличенной транспортной нагрузке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 xml:space="preserve">Обеспечение безопасности </w:t>
      </w:r>
      <w:proofErr w:type="spellStart"/>
      <w:r w:rsidR="007014FC">
        <w:rPr>
          <w:rFonts w:ascii="Times New Roman" w:hAnsi="Times New Roman" w:cs="Times New Roman"/>
          <w:sz w:val="28"/>
          <w:szCs w:val="28"/>
        </w:rPr>
        <w:t>участноков</w:t>
      </w:r>
      <w:proofErr w:type="spellEnd"/>
      <w:r w:rsidR="007014FC">
        <w:rPr>
          <w:rFonts w:ascii="Times New Roman" w:hAnsi="Times New Roman" w:cs="Times New Roman"/>
          <w:sz w:val="28"/>
          <w:szCs w:val="28"/>
        </w:rPr>
        <w:t xml:space="preserve">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2 «Увеличение протяженности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проездов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 xml:space="preserve">Увеличение доли проездов </w:t>
      </w:r>
      <w:proofErr w:type="gramStart"/>
      <w:r w:rsidR="00066F1D">
        <w:rPr>
          <w:rFonts w:ascii="Times New Roman" w:hAnsi="Times New Roman" w:cs="Times New Roman"/>
          <w:sz w:val="28"/>
          <w:szCs w:val="28"/>
        </w:rPr>
        <w:t>к дворовым территориям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 xml:space="preserve"> отвечающим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 xml:space="preserve">Значение показателей задач Программы по годам ее реализации, описание характеристик показателей задач Подпрограммы представлены в </w:t>
      </w:r>
      <w:proofErr w:type="gramStart"/>
      <w:r w:rsidR="009F575E">
        <w:rPr>
          <w:rFonts w:ascii="Times New Roman" w:hAnsi="Times New Roman" w:cs="Times New Roman"/>
          <w:sz w:val="28"/>
          <w:szCs w:val="28"/>
        </w:rPr>
        <w:t>Приложении  1</w:t>
      </w:r>
      <w:proofErr w:type="gramEnd"/>
      <w:r w:rsidR="009F575E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066F1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</w:t>
      </w:r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F1D">
        <w:rPr>
          <w:rFonts w:ascii="Times New Roman" w:hAnsi="Times New Roman" w:cs="Times New Roman"/>
          <w:sz w:val="28"/>
          <w:szCs w:val="28"/>
        </w:rPr>
        <w:t>44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> 119,9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0F299F" w:rsidRDefault="000F299F" w:rsidP="009F57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667"/>
        <w:gridCol w:w="1536"/>
        <w:gridCol w:w="1536"/>
        <w:gridCol w:w="1536"/>
        <w:gridCol w:w="1539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66F1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12 930,2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  <w:tr w:rsidR="00F01BDB" w:rsidRPr="00475342" w:rsidTr="00475342">
        <w:tc>
          <w:tcPr>
            <w:tcW w:w="534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C2410">
              <w:rPr>
                <w:rFonts w:ascii="Times New Roman" w:hAnsi="Times New Roman" w:cs="Times New Roman"/>
              </w:rPr>
              <w:t xml:space="preserve">Текущий и ямочный ремонт улично-дорожной </w:t>
            </w:r>
            <w:proofErr w:type="gramStart"/>
            <w:r w:rsidR="006C2410">
              <w:rPr>
                <w:rFonts w:ascii="Times New Roman" w:hAnsi="Times New Roman" w:cs="Times New Roman"/>
              </w:rPr>
              <w:t>сети</w:t>
            </w:r>
            <w:proofErr w:type="gramEnd"/>
            <w:r w:rsidR="006C2410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2 562,5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8 862,5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10 367,7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28 027,1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Подпрограмма  2</w:t>
            </w:r>
            <w:proofErr w:type="gramEnd"/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дворовых территорий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14 160,5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согласованности 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 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</w:t>
      </w:r>
      <w:r w:rsidR="00733FDE">
        <w:rPr>
          <w:rFonts w:ascii="Times New Roman" w:hAnsi="Times New Roman" w:cs="Times New Roman"/>
          <w:sz w:val="28"/>
          <w:szCs w:val="28"/>
        </w:rPr>
        <w:t xml:space="preserve">, в том числе с социально ориентированными некоммерческими организациями: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FDE" w:rsidRDefault="00733FDE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85130B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85130B" w:rsidRPr="00733FDE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8513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BF05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056E" w:rsidSect="000F468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E853D5" w:rsidRDefault="00E853D5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1820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E853D5" w:rsidRPr="00E853D5" w:rsidTr="00E853D5">
        <w:trPr>
          <w:trHeight w:val="8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 от 28.03.2019 г. № </w:t>
            </w:r>
            <w:r w:rsidRPr="00E853D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78</w:t>
            </w:r>
          </w:p>
        </w:tc>
      </w:tr>
      <w:tr w:rsidR="00E853D5" w:rsidRPr="00E853D5" w:rsidTr="00E853D5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к муниципальной программе "Дорожное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E853D5" w:rsidRPr="00E853D5" w:rsidTr="00E853D5">
        <w:trPr>
          <w:trHeight w:val="5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3D5" w:rsidRPr="00E853D5" w:rsidTr="00E853D5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E853D5" w:rsidRPr="00E853D5" w:rsidTr="00E853D5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E853D5" w:rsidRPr="00E853D5" w:rsidTr="00E853D5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3D5" w:rsidRPr="00E853D5" w:rsidTr="00E853D5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E853D5" w:rsidRPr="00E853D5" w:rsidTr="00E853D5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3D5" w:rsidRPr="00E853D5" w:rsidTr="00E853D5">
        <w:trPr>
          <w:trHeight w:val="312"/>
        </w:trPr>
        <w:tc>
          <w:tcPr>
            <w:tcW w:w="4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3D5" w:rsidRPr="00E853D5" w:rsidTr="00E853D5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E853D5" w:rsidRPr="00E853D5" w:rsidTr="00E853D5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E853D5" w:rsidRPr="00E853D5" w:rsidTr="00E853D5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E853D5" w:rsidRPr="00E853D5" w:rsidTr="00E853D5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E853D5" w:rsidRPr="00E853D5" w:rsidTr="00E853D5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853D5" w:rsidRPr="00E853D5" w:rsidTr="00E853D5">
        <w:trPr>
          <w:trHeight w:val="5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3D5" w:rsidRPr="00E853D5" w:rsidTr="00E853D5">
        <w:trPr>
          <w:trHeight w:val="480"/>
        </w:trPr>
        <w:tc>
          <w:tcPr>
            <w:tcW w:w="6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E853D5" w:rsidRPr="00E853D5" w:rsidTr="00E853D5">
        <w:trPr>
          <w:trHeight w:val="600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E853D5" w:rsidRPr="00E853D5" w:rsidTr="00E853D5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E853D5" w:rsidRPr="00E853D5" w:rsidTr="00E853D5">
        <w:trPr>
          <w:trHeight w:val="6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21077,3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51036,7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8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E853D5" w:rsidRPr="00E853D5" w:rsidTr="00E853D5">
        <w:trPr>
          <w:trHeight w:val="1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отремонтированных автомобильных дорог с усовершенствованным покрытием в общей протяженности дорог" (Д=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Sотр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Sдор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"Ремонт и содержание улично-дорожной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17098,4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41057,8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29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"Текущий и ямочный ремонт улично-дорожной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12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транспортных происшествий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произошедших по причине некачественного дорожного полотна"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88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реализованных проектов в соответствии с ранее разработанной проектной документацией"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разработанной проектной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744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1.003 "Субсидия на капитальный ремонт и ремонт улично-дорожной сети"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4168,2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4168,2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15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дорог, отвечающих нормативным требованиям в общей протяженности дорог общего пользования местного значения"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624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6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улично-дорожной сети соответствующей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"Площадь дорог общего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пользования  местного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значения соответствующих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муниципального контроля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 содержанию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2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"Благоустройство дворовых территорий многоквартирных жилых домов на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4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 и ремонт дворовых территорий с учетом современных технических требований"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1.002 "Субсидия на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2748,6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853D5" w:rsidRPr="00E853D5" w:rsidTr="00E853D5">
        <w:trPr>
          <w:trHeight w:val="115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1.003 "Привлечение собственников жилых помещений в многоквартирных домах к работам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организованных собраний жильцов по вопросам благоустройства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6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принятых решений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12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6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"Капитальный ремонт проездов к дворовым территориям"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E853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проездов к дворовым территориям с усовершенствованным асфальтобетонным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</w:t>
            </w:r>
            <w:proofErr w:type="gramEnd"/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регулирующих безопасность дорожного движения (предупреждающие и запрещающие знаки"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8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 в отношении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4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E853D5" w:rsidRPr="00E853D5" w:rsidTr="00E853D5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3D5" w:rsidRPr="00E853D5" w:rsidRDefault="00E853D5" w:rsidP="00E85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2A52A1" w:rsidRPr="00E853D5" w:rsidRDefault="002A52A1" w:rsidP="00E853D5">
      <w:pPr>
        <w:rPr>
          <w:rFonts w:ascii="Times New Roman" w:hAnsi="Times New Roman" w:cs="Times New Roman"/>
          <w:sz w:val="28"/>
          <w:szCs w:val="28"/>
        </w:rPr>
        <w:sectPr w:rsidR="002A52A1" w:rsidRPr="00E853D5" w:rsidSect="002A52A1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BF056E" w:rsidRPr="001C3F01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056E" w:rsidRPr="001C3F01" w:rsidSect="000F468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602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66F1D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4681"/>
    <w:rsid w:val="000F5497"/>
    <w:rsid w:val="00100A7E"/>
    <w:rsid w:val="00101D88"/>
    <w:rsid w:val="00102BC0"/>
    <w:rsid w:val="001034A2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A52A1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5422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1661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3FDE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11AA"/>
    <w:rsid w:val="008259DC"/>
    <w:rsid w:val="008267E1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0B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7304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165D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056E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2EAA"/>
    <w:rsid w:val="00C74108"/>
    <w:rsid w:val="00C749C2"/>
    <w:rsid w:val="00C8079C"/>
    <w:rsid w:val="00C81204"/>
    <w:rsid w:val="00C81AFE"/>
    <w:rsid w:val="00C81B3D"/>
    <w:rsid w:val="00C82BC5"/>
    <w:rsid w:val="00C8398E"/>
    <w:rsid w:val="00C853D9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B0BD0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3D5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57E9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0E80-E190-4E6D-9143-82D73CBC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733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3F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F056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056E"/>
    <w:rPr>
      <w:color w:val="800080"/>
      <w:u w:val="single"/>
    </w:rPr>
  </w:style>
  <w:style w:type="paragraph" w:customStyle="1" w:styleId="font5">
    <w:name w:val="font5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F05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09">
    <w:name w:val="xl10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E85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11</cp:revision>
  <cp:lastPrinted>2018-11-16T08:35:00Z</cp:lastPrinted>
  <dcterms:created xsi:type="dcterms:W3CDTF">2018-11-16T10:59:00Z</dcterms:created>
  <dcterms:modified xsi:type="dcterms:W3CDTF">2019-03-28T09:57:00Z</dcterms:modified>
</cp:coreProperties>
</file>